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-257175</wp:posOffset>
            </wp:positionV>
            <wp:extent cx="6330950" cy="1517650"/>
            <wp:effectExtent l="0" t="0" r="0" b="0"/>
            <wp:wrapNone/>
            <wp:docPr id="2" name="图片 2" descr="d07f0b3a71113879c90369edb3c3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07f0b3a71113879c90369edb3c33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3313" w:firstLineChars="110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333375</wp:posOffset>
                </wp:positionV>
                <wp:extent cx="6303010" cy="76200"/>
                <wp:effectExtent l="0" t="0" r="254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7880" y="1744980"/>
                          <a:ext cx="6303010" cy="76200"/>
                        </a:xfrm>
                        <a:prstGeom prst="rect">
                          <a:avLst/>
                        </a:prstGeom>
                        <a:solidFill>
                          <a:srgbClr val="E602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95pt;margin-top:26.25pt;height:6pt;width:496.3pt;z-index:251658240;v-text-anchor:middle;mso-width-relative:page;mso-height-relative:page;" fillcolor="#E60213" filled="t" stroked="f" coordsize="21600,21600" o:gfxdata="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6PLEba&#10;AAAACQEAAA8AAAAAAAAAAQAgAAAAIgAAAGRycy9kb3ducmV2LnhtbFBLAQIUABQAAAAIAIdO4kBz&#10;dLfwVwIAAIcEAAAOAAAAAAAAAAEAIAAAACk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中计培</w:t>
      </w:r>
      <w:r>
        <w:rPr>
          <w:rFonts w:hint="eastAsia"/>
          <w:b/>
          <w:bCs/>
          <w:sz w:val="30"/>
          <w:szCs w:val="30"/>
          <w:highlight w:val="none"/>
          <w:lang w:eastAsia="zh-CN"/>
        </w:rPr>
        <w:t>〔</w:t>
      </w: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21</w:t>
      </w:r>
      <w:r>
        <w:rPr>
          <w:rFonts w:hint="eastAsia"/>
          <w:b/>
          <w:bCs/>
          <w:sz w:val="30"/>
          <w:szCs w:val="30"/>
          <w:highlight w:val="none"/>
          <w:lang w:eastAsia="zh-CN"/>
        </w:rPr>
        <w:t>〕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06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关于举办《检验检测机构资质认定能力评价检验检测机构通用要求》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RB/T214-2017和CNAS-CL01：2018暨资质认定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内审员含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2"/>
          <w:szCs w:val="32"/>
          <w:lang w:val="en-US" w:eastAsia="zh-CN"/>
        </w:rPr>
        <w:t>《</w:t>
      </w:r>
      <w:r>
        <w:rPr>
          <w:rFonts w:hint="eastAsia" w:asciiTheme="minorEastAsia" w:hAnsiTheme="minorEastAsia" w:cstheme="minorEastAsia"/>
          <w:b/>
          <w:bCs/>
          <w:spacing w:val="-6"/>
          <w:sz w:val="32"/>
          <w:szCs w:val="32"/>
          <w:lang w:val="en-US" w:eastAsia="zh-CN"/>
        </w:rPr>
        <w:t>双准则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2"/>
          <w:szCs w:val="32"/>
          <w:lang w:val="en-US" w:eastAsia="zh-CN"/>
        </w:rPr>
        <w:t>》</w:t>
      </w:r>
      <w:r>
        <w:rPr>
          <w:rFonts w:hint="eastAsia" w:asciiTheme="minorEastAsia" w:hAnsiTheme="minorEastAsia" w:cstheme="minorEastAsia"/>
          <w:b/>
          <w:bCs/>
          <w:spacing w:val="-6"/>
          <w:sz w:val="32"/>
          <w:szCs w:val="32"/>
          <w:lang w:val="en-US" w:eastAsia="zh-CN"/>
        </w:rPr>
        <w:t>及2020年版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2"/>
          <w:szCs w:val="32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能力评价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-要求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2"/>
          <w:szCs w:val="32"/>
          <w:lang w:val="en-US" w:eastAsia="zh-CN"/>
        </w:rPr>
        <w:t>》</w:t>
      </w:r>
      <w:r>
        <w:rPr>
          <w:rFonts w:hint="eastAsia" w:asciiTheme="minorEastAsia" w:hAnsiTheme="minorEastAsia" w:cstheme="minorEastAsia"/>
          <w:b/>
          <w:bCs/>
          <w:spacing w:val="-6"/>
          <w:sz w:val="32"/>
          <w:szCs w:val="32"/>
          <w:lang w:val="en-US" w:eastAsia="zh-CN"/>
        </w:rPr>
        <w:t>及实验室管理层岗位能力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专项培训班通知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</w:rPr>
        <w:t>各</w:t>
      </w: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  <w:lang w:val="en-US" w:eastAsia="zh-CN"/>
        </w:rPr>
        <w:t>有关</w:t>
      </w: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</w:rPr>
        <w:t>检验检测</w:t>
      </w: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  <w:lang w:val="en-US" w:eastAsia="zh-CN"/>
        </w:rPr>
        <w:t>机构/</w:t>
      </w: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</w:rPr>
        <w:t>实验室：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Theme="minorAscii" w:hAnsiTheme="majorEastAsia" w:eastAsiaTheme="majorEastAsia" w:cstheme="majorEastAsia"/>
          <w:b w:val="0"/>
          <w:bCs w:val="0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为指导检验检测机构/实验室相关人员正确理解</w:t>
      </w: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把握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《检验检测机构资质认定能力评价 检验检测机构通用要求》RB/T214-2017和CNAS-CL01：2018《检测和校准实验室能力认可准则》的核心要求，以及按照标准和准则的要求策划和实施内部审核，完善管理体系，为提高实验室内部审核人员及管理人员的综合能力，确保实验室质量负责人、技术负责人、授权签字人基于风险的思维，对过程和管理体系进行管控，从而有效利用机遇，防止发生非预期结果的风险；更好地理解质量和技术负责人的职责和权限，明确其任职条件并充分发挥其岗位作用，全面地从检验检测活动范围内所涉及到的危险源进行识别、风险评估、风险控制、风险预警等工作，以减少或避免危险事件发生，确保检验检测工作顺利进行</w:t>
      </w: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计量院培训中心</w:t>
      </w: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经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研究决定</w:t>
      </w: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开展线下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专项培训班</w:t>
      </w: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现将培训班事宜通知如下：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Theme="minorEastAsia" w:hAnsiTheme="minorEastAsia" w:cstheme="minorEastAsia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zCs w:val="32"/>
          <w:lang w:val="en-US" w:eastAsia="zh-CN" w:bidi="ar"/>
        </w:rPr>
        <w:t>新版标准宣贯体系文件转版编写内审</w:t>
      </w:r>
      <w:r>
        <w:rPr>
          <w:rFonts w:hint="eastAsia" w:asciiTheme="minorEastAsia" w:hAnsiTheme="minorEastAsia" w:cstheme="minorEastAsia"/>
          <w:b/>
          <w:color w:val="000000"/>
          <w:kern w:val="0"/>
          <w:sz w:val="32"/>
          <w:szCs w:val="32"/>
          <w:lang w:val="en-US" w:eastAsia="zh-CN" w:bidi="ar"/>
        </w:rPr>
        <w:t>和管理评审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asciiTheme="minorEastAsia" w:hAnsiTheme="minorEastAsia" w:cstheme="minorEastAsia"/>
          <w:b/>
          <w:color w:val="000000"/>
          <w:kern w:val="0"/>
          <w:sz w:val="32"/>
          <w:szCs w:val="32"/>
          <w:lang w:val="en-US" w:eastAsia="zh-CN" w:bidi="ar"/>
        </w:rPr>
        <w:t>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8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检验检测机构通用要求》RB/T214-2017、《检测校准实验室能力认可准则》CNAS-CL01：2018主要内容讲解；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1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2.解读新发布的RB/T045-2020、RB/T046-2020、RB/T047-2020等相关《能力评价要求》；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1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4.新版ISO/IEC17025:2017（等同GB/T 27025-2019 ）《检测和校准实验室能力的通用要求》标准变化及解读（包括风险管理等最新要求、新旧版本的区别变化）；</w:t>
      </w:r>
    </w:p>
    <w:p>
      <w:pPr>
        <w:widowControl/>
        <w:numPr>
          <w:ilvl w:val="0"/>
          <w:numId w:val="0"/>
        </w:numPr>
        <w:spacing w:line="520" w:lineRule="exact"/>
        <w:ind w:leftChars="0" w:firstLine="280" w:firstLineChars="1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检验检测机构资质认定和实验室认可最新动态；</w:t>
      </w:r>
    </w:p>
    <w:p>
      <w:pPr>
        <w:widowControl/>
        <w:numPr>
          <w:ilvl w:val="0"/>
          <w:numId w:val="0"/>
        </w:numPr>
        <w:spacing w:line="520" w:lineRule="exact"/>
        <w:ind w:leftChars="0" w:firstLine="280" w:firstLineChars="1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.如何根据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bidi="ar"/>
        </w:rPr>
        <w:t>RB/T214-2017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CNAS-CL01：2018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做好质量管理体系文件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《质量手册》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的编写与修订；</w:t>
      </w:r>
    </w:p>
    <w:p>
      <w:pPr>
        <w:widowControl/>
        <w:numPr>
          <w:ilvl w:val="0"/>
          <w:numId w:val="0"/>
        </w:numPr>
        <w:spacing w:line="520" w:lineRule="exact"/>
        <w:ind w:leftChars="0" w:firstLine="280" w:firstLineChars="1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.管理体系运行内审程序、要求、方法和技巧；</w:t>
      </w:r>
    </w:p>
    <w:p>
      <w:pPr>
        <w:widowControl/>
        <w:spacing w:line="520" w:lineRule="exact"/>
        <w:ind w:firstLine="280" w:firstLineChars="1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.在申请资质认定或认可、监督评审、复评审前应做的准备工作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</w:p>
    <w:p>
      <w:pPr>
        <w:widowControl/>
        <w:spacing w:line="520" w:lineRule="exact"/>
        <w:ind w:firstLine="280" w:firstLineChars="1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管理评审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内部审核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策划实施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审核技巧（含实例讲解）。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  <w:t>二、检验检测机构/实验室质量/技术负责人、授权签字人培训内容；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1.检验检测机构资质认定和实验室认可最新动态；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2.《检验检测机构资质认定管理办法》新版163号令对RB/T214-2017要求；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bidi="ar"/>
        </w:rPr>
        <w:t>RB/T214-2017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和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CNAS-CL01：2018对管理层（最高管理者、质量负责人、技术负责人、授权签字人的要求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4.体系管理及质量方针、质量目标；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5.管理体系建立、实施、维护及改进；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6.应对风险和机遇的措施及纠正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.内审和管理评审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val="en-US" w:eastAsia="zh-CN" w:bidi="ar"/>
        </w:rPr>
        <w:t>三、培训对象：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检验检测机构/实验室内审员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及管理层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等相关人员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6"/>
          <w:szCs w:val="36"/>
          <w:lang w:val="en-US" w:eastAsia="zh-CN" w:bidi="ar"/>
        </w:rPr>
        <w:t>授课教师：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lang w:val="en-US" w:eastAsia="zh-CN" w:bidi="ar"/>
        </w:rPr>
        <w:t>国家级资质认定评审员、实验室认可主任评审员师资授课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  <w:t>线上班级及培训时间:</w:t>
      </w:r>
    </w:p>
    <w:tbl>
      <w:tblPr>
        <w:tblStyle w:val="5"/>
        <w:tblW w:w="1018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0"/>
        <w:gridCol w:w="2250"/>
        <w:gridCol w:w="2580"/>
        <w:gridCol w:w="21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培训内容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培训时间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培训方式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2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检验检测机构/实验室认可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资质认定内审员能力提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升专项培训班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2021年0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7日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上午09：00-11：30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下午14：00-17：30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241" w:firstLineChars="100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网络直播培训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 xml:space="preserve">     内审员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</w:p>
          <w:p>
            <w:pPr>
              <w:ind w:firstLine="241" w:firstLineChars="100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32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2021年0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上午09：00-11：30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下午14：00-17：30</w:t>
            </w:r>
          </w:p>
        </w:tc>
        <w:tc>
          <w:tcPr>
            <w:tcW w:w="21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2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检验检测机构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/实验室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质量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负责人、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技术负责人、授权签字人岗位能力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专项培训班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9日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上午9：00-11：30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下午2：00-17：30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网络直播培训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 xml:space="preserve">     管理层</w:t>
            </w:r>
          </w:p>
          <w:p>
            <w:pPr>
              <w:ind w:firstLine="241" w:firstLineChars="100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32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2021年0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上午09：00-11：30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下午02：00-17：30</w:t>
            </w:r>
          </w:p>
        </w:tc>
        <w:tc>
          <w:tcPr>
            <w:tcW w:w="21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pacing w:val="-6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6"/>
          <w:szCs w:val="36"/>
          <w:lang w:val="en-US" w:eastAsia="zh-CN" w:bidi="ar"/>
        </w:rPr>
        <w:t>线下班级培训时间及培训地点：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  <w:t>2021年04月14日-04月17日 地点另行通知（内审员、管理层）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  <w:t>2021年04月21日-04月24日 地点另行通知（内审员、管理层)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  <w:t>2021年04月21日-04月24日 地点另行通知 (内审员、管理层)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2"/>
          <w:szCs w:val="32"/>
          <w:lang w:val="en-US" w:eastAsia="zh-CN" w:bidi="ar"/>
        </w:rPr>
        <w:t>2021年04月26日-04月29日 地点另行通知（内审员、测量不确定度)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pacing w:val="-6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6"/>
          <w:szCs w:val="36"/>
          <w:lang w:val="en-US" w:eastAsia="zh-CN" w:bidi="ar"/>
        </w:rPr>
        <w:t>六、培训费用：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线上，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线下培训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的学员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：每期培训班涉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涉及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2个培训内容参加新标准宣贯体系文件编写内审员培训班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学员，收取培训费用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1500元/人时间为每期培训班的前两天；参加质量/技术负责人、授权签字人培训班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学员，收取培训费用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1500元/人时间为每期培训班的后 两天；两个内容同时参加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的学员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2600 元/人；食宿统一安排，费用自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pacing w:val="-6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highlight w:val="none"/>
          <w:lang w:val="en-US" w:eastAsia="zh-CN" w:bidi="ar"/>
        </w:rPr>
        <w:t>备注：</w:t>
      </w:r>
      <w:r>
        <w:rPr>
          <w:rFonts w:hint="eastAsia" w:asciiTheme="minorEastAsia" w:hAnsiTheme="minorEastAsia" w:cstheme="minorEastAsia"/>
          <w:spacing w:val="-6"/>
          <w:kern w:val="0"/>
          <w:sz w:val="28"/>
          <w:szCs w:val="28"/>
          <w:highlight w:val="none"/>
          <w:lang w:val="en-US" w:eastAsia="zh-CN" w:bidi="ar"/>
        </w:rPr>
        <w:t>凡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val="en-US" w:eastAsia="zh-CN" w:bidi="ar"/>
        </w:rPr>
        <w:t>参加线上培训的学员，可享受我院在全国范围内开展的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highlight w:val="none"/>
          <w:lang w:val="en-US" w:eastAsia="zh-CN" w:bidi="ar"/>
        </w:rPr>
        <w:t>同一课程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val="en-US" w:eastAsia="zh-CN" w:bidi="ar"/>
        </w:rPr>
        <w:t>线下培训班的免费听课机会，一年内有效，只限本人，免费发放</w:t>
      </w:r>
      <w:r>
        <w:rPr>
          <w:rFonts w:hint="eastAsia" w:asciiTheme="minorEastAsia" w:hAnsiTheme="minorEastAsia" w:cstheme="minorEastAsia"/>
          <w:spacing w:val="-6"/>
          <w:kern w:val="0"/>
          <w:sz w:val="28"/>
          <w:szCs w:val="28"/>
          <w:lang w:val="en-US" w:eastAsia="zh-CN" w:bidi="ar"/>
        </w:rPr>
        <w:t>会员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val="en-US" w:eastAsia="zh-CN" w:bidi="ar"/>
        </w:rPr>
        <w:t>听课证。</w:t>
      </w:r>
      <w:r>
        <w:rPr>
          <w:rFonts w:hint="eastAsia" w:asciiTheme="majorEastAsia" w:hAnsiTheme="majorEastAsia" w:eastAsiaTheme="majorEastAsia" w:cstheme="majorEastAsia"/>
          <w:spacing w:val="-6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kern w:val="0"/>
          <w:sz w:val="36"/>
          <w:szCs w:val="36"/>
          <w:lang w:val="en-US" w:eastAsia="zh-CN" w:bidi="ar"/>
        </w:rPr>
        <w:t>七、培训证书：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经培训考试合格颁发检验检测机构/实验室内审员岗位能力双资格证书。“检验检测机构质量/技术负责人及授权签字人”岗位能力 培训证书；证书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各省市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监督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管理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局、行业评审组认可，证书统一编号，并在网上公示。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 w:val="0"/>
          <w:spacing w:val="-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-6"/>
          <w:kern w:val="0"/>
          <w:sz w:val="36"/>
          <w:szCs w:val="36"/>
          <w:lang w:val="en-US" w:eastAsia="zh-CN" w:bidi="ar"/>
        </w:rPr>
        <w:t>八、</w:t>
      </w:r>
      <w:r>
        <w:rPr>
          <w:rFonts w:hint="eastAsia" w:ascii="宋体" w:hAnsi="宋体" w:eastAsia="宋体" w:cs="宋体"/>
          <w:b/>
          <w:bCs w:val="0"/>
          <w:spacing w:val="-6"/>
          <w:sz w:val="36"/>
          <w:szCs w:val="36"/>
        </w:rPr>
        <w:t>报名事宜</w:t>
      </w:r>
      <w:r>
        <w:rPr>
          <w:rFonts w:hint="eastAsia" w:ascii="宋体" w:hAnsi="宋体" w:eastAsia="宋体" w:cs="宋体"/>
          <w:b/>
          <w:bCs w:val="0"/>
          <w:spacing w:val="-6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textAlignment w:val="auto"/>
        <w:rPr>
          <w:rFonts w:hint="default" w:ascii="宋体" w:hAnsi="宋体" w:eastAsia="宋体" w:cs="宋体"/>
          <w:color w:val="auto"/>
          <w:spacing w:val="-6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请务必于开课前一周将《报名回执表》传至邮箱：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instrText xml:space="preserve"> HYPERLINK "mailto:zrgspxzx@163.com" </w:instrTex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jly_pxzx@163.com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 xml:space="preserve"> 或424370419@qq.com.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8" w:firstLineChars="100"/>
        <w:textAlignment w:val="auto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  <w:highlight w:val="none"/>
          <w:lang w:val="en-US" w:eastAsia="zh-CN"/>
        </w:rPr>
        <w:t>计量院培训办公室，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联系人：段老师 手机：18600268848   电话：010-83862162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textAlignment w:val="auto"/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汇款缴费：请于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开班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前5个工作日前将培训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费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汇入以下账号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textAlignment w:val="auto"/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账户名：</w:t>
      </w:r>
      <w:r>
        <w:rPr>
          <w:rFonts w:hint="default" w:ascii="宋体" w:hAnsi="宋体" w:eastAsia="宋体" w:cs="宋体"/>
          <w:spacing w:val="-6"/>
          <w:sz w:val="28"/>
          <w:szCs w:val="28"/>
          <w:highlight w:val="none"/>
          <w:lang w:val="en-US" w:eastAsia="zh-CN"/>
        </w:rPr>
        <w:t>中</w:t>
      </w:r>
      <w:r>
        <w:rPr>
          <w:rFonts w:hint="eastAsia" w:ascii="宋体" w:hAnsi="宋体" w:eastAsia="宋体" w:cs="宋体"/>
          <w:spacing w:val="-6"/>
          <w:sz w:val="28"/>
          <w:szCs w:val="28"/>
          <w:highlight w:val="none"/>
          <w:lang w:val="en-US" w:eastAsia="zh-CN"/>
        </w:rPr>
        <w:t>培</w:t>
      </w:r>
      <w:r>
        <w:rPr>
          <w:rFonts w:hint="default" w:ascii="宋体" w:hAnsi="宋体" w:eastAsia="宋体" w:cs="宋体"/>
          <w:spacing w:val="-6"/>
          <w:sz w:val="28"/>
          <w:szCs w:val="28"/>
          <w:highlight w:val="none"/>
          <w:lang w:val="en-US" w:eastAsia="zh-CN"/>
        </w:rPr>
        <w:t>国认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（北京）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计量科学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 xml:space="preserve">研究院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textAlignment w:val="auto"/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 xml:space="preserve">帐 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号：0200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 xml:space="preserve"> 3334 0910 0036 591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textAlignment w:val="auto"/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开户行：中国工商银行股份有限公司北京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幸福街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8" w:firstLineChars="200"/>
        <w:textAlignment w:val="auto"/>
        <w:rPr>
          <w:rFonts w:hint="eastAsia" w:ascii="宋体" w:hAnsi="宋体" w:eastAsia="宋体" w:cs="宋体"/>
          <w:b/>
          <w:bCs/>
          <w:spacing w:val="-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-6"/>
          <w:kern w:val="0"/>
          <w:sz w:val="28"/>
          <w:szCs w:val="28"/>
          <w:lang w:val="en-US" w:eastAsia="zh-CN" w:bidi="ar"/>
        </w:rPr>
        <w:t>备注：培训报名时请附带电子版1寸彩色免冠照片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6" w:firstLineChars="200"/>
        <w:textAlignment w:val="auto"/>
        <w:rPr>
          <w:rFonts w:hint="eastAsia" w:ascii="宋体" w:hAnsi="宋体" w:eastAsia="宋体" w:cs="宋体"/>
          <w:b/>
          <w:bCs/>
          <w:spacing w:val="-6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>备注：此次网络直播课均在检验检测机构信息化服务平台进行，网课结束后在平台进行考试，请提前注册平台会员。平台网址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instrText xml:space="preserve"> HYPERLINK "http://www.zpgr.org.cn" </w:instrText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t>www.zpgr.org.cn</w:t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t>关注我们，进入平台了解更多内容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/>
          <w:bCs/>
          <w:spacing w:val="-6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pacing w:val="-6"/>
          <w:sz w:val="30"/>
          <w:szCs w:val="3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51435</wp:posOffset>
            </wp:positionV>
            <wp:extent cx="1010285" cy="1010285"/>
            <wp:effectExtent l="0" t="0" r="18415" b="18415"/>
            <wp:wrapNone/>
            <wp:docPr id="5" name="图片 5" descr="平台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平台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pacing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57785</wp:posOffset>
            </wp:positionV>
            <wp:extent cx="1401445" cy="1401445"/>
            <wp:effectExtent l="0" t="0" r="8255" b="8255"/>
            <wp:wrapNone/>
            <wp:docPr id="3" name="图片 3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 w:val="0"/>
          <w:spacing w:val="-6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41" w:leftChars="1067" w:firstLine="2530" w:firstLineChars="900"/>
        <w:textAlignment w:val="auto"/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spacing w:val="0"/>
          <w:w w:val="100"/>
          <w:sz w:val="28"/>
          <w:szCs w:val="28"/>
          <w:highlight w:val="none"/>
          <w:lang w:val="en-US" w:eastAsia="zh-CN"/>
        </w:rPr>
        <w:t>中培国认</w:t>
      </w:r>
      <w:r>
        <w:rPr>
          <w:rFonts w:hint="eastAsia" w:ascii="宋体" w:hAnsi="宋体" w:eastAsia="宋体" w:cs="宋体"/>
          <w:b/>
          <w:bCs/>
          <w:snapToGrid/>
          <w:spacing w:val="0"/>
          <w:w w:val="100"/>
          <w:sz w:val="28"/>
          <w:szCs w:val="28"/>
          <w:lang w:val="en-US" w:eastAsia="zh-CN"/>
        </w:rPr>
        <w:t>（北京）计量科学研究院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70" w:hanging="2474" w:hangingChars="800"/>
        <w:textAlignment w:val="auto"/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6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spacing w:val="0"/>
          <w:w w:val="100"/>
          <w:sz w:val="28"/>
          <w:szCs w:val="28"/>
          <w:lang w:val="en-US" w:eastAsia="zh-CN"/>
        </w:rPr>
        <w:t xml:space="preserve">                  2021年02月06日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t>网址：</w:t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instrText xml:space="preserve"> HYPERLINK "http://www.zpgr.org.cn" </w:instrText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t>www.zpgr.org.cn</w:t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eastAsia="方正小标宋简体"/>
          <w:b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  <w:t>附件：培训班报名回执表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b/>
          <w:bCs/>
          <w:spacing w:val="-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70" w:hanging="2313" w:hangingChars="800"/>
        <w:textAlignment w:val="auto"/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70" w:hanging="2313" w:hangingChars="800"/>
        <w:textAlignment w:val="auto"/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70" w:hanging="2313" w:hangingChars="800"/>
        <w:textAlignment w:val="auto"/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eastAsia="方正小标宋简体"/>
          <w:b/>
          <w:bCs w:val="0"/>
          <w:spacing w:val="-6"/>
          <w:sz w:val="32"/>
          <w:szCs w:val="32"/>
          <w:lang w:val="en-US" w:eastAsia="zh-CN"/>
        </w:rPr>
      </w:pPr>
    </w:p>
    <w:sectPr>
      <w:pgSz w:w="11906" w:h="16838"/>
      <w:pgMar w:top="1134" w:right="794" w:bottom="1134" w:left="1191" w:header="851" w:footer="992" w:gutter="0"/>
      <w:pgNumType w:fmt="chineseCounting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E0173"/>
    <w:multiLevelType w:val="singleLevel"/>
    <w:tmpl w:val="99DE01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A08CFD"/>
    <w:multiLevelType w:val="singleLevel"/>
    <w:tmpl w:val="62A08CF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55534"/>
    <w:rsid w:val="000E69E2"/>
    <w:rsid w:val="00640540"/>
    <w:rsid w:val="01352ECF"/>
    <w:rsid w:val="01574DAE"/>
    <w:rsid w:val="01B351D7"/>
    <w:rsid w:val="02096239"/>
    <w:rsid w:val="02755AD6"/>
    <w:rsid w:val="027D7E51"/>
    <w:rsid w:val="02B01E9A"/>
    <w:rsid w:val="030A74D7"/>
    <w:rsid w:val="037518C8"/>
    <w:rsid w:val="03DB73C4"/>
    <w:rsid w:val="04177591"/>
    <w:rsid w:val="050A6DDC"/>
    <w:rsid w:val="064B6D8C"/>
    <w:rsid w:val="06E2587F"/>
    <w:rsid w:val="06F91280"/>
    <w:rsid w:val="07442020"/>
    <w:rsid w:val="07524E99"/>
    <w:rsid w:val="079D1556"/>
    <w:rsid w:val="08AF2FEE"/>
    <w:rsid w:val="093D46E3"/>
    <w:rsid w:val="09EA0DCD"/>
    <w:rsid w:val="0A186124"/>
    <w:rsid w:val="0AAA6526"/>
    <w:rsid w:val="0BA62452"/>
    <w:rsid w:val="0BCD438F"/>
    <w:rsid w:val="0CFC79D5"/>
    <w:rsid w:val="0FBC64BB"/>
    <w:rsid w:val="123D04B1"/>
    <w:rsid w:val="13CD08A3"/>
    <w:rsid w:val="14467B1A"/>
    <w:rsid w:val="14544FBD"/>
    <w:rsid w:val="149D115F"/>
    <w:rsid w:val="16445D46"/>
    <w:rsid w:val="16F355E6"/>
    <w:rsid w:val="170876BA"/>
    <w:rsid w:val="172F5A0F"/>
    <w:rsid w:val="18325346"/>
    <w:rsid w:val="18ED78E9"/>
    <w:rsid w:val="192047BD"/>
    <w:rsid w:val="1A6619FE"/>
    <w:rsid w:val="1B3208DA"/>
    <w:rsid w:val="1B3879A0"/>
    <w:rsid w:val="1B64386A"/>
    <w:rsid w:val="1BED49E1"/>
    <w:rsid w:val="1C2F2109"/>
    <w:rsid w:val="1C421EF6"/>
    <w:rsid w:val="1CC45F15"/>
    <w:rsid w:val="1D4D1FC3"/>
    <w:rsid w:val="1D9653D5"/>
    <w:rsid w:val="1E1936A9"/>
    <w:rsid w:val="1F1C0263"/>
    <w:rsid w:val="1F771F43"/>
    <w:rsid w:val="20100621"/>
    <w:rsid w:val="206F47D8"/>
    <w:rsid w:val="20A02F70"/>
    <w:rsid w:val="224140D0"/>
    <w:rsid w:val="231E18AA"/>
    <w:rsid w:val="23714CBF"/>
    <w:rsid w:val="23AA36FE"/>
    <w:rsid w:val="23E6383A"/>
    <w:rsid w:val="244A328E"/>
    <w:rsid w:val="247171CC"/>
    <w:rsid w:val="24F65487"/>
    <w:rsid w:val="25840B6A"/>
    <w:rsid w:val="27045AF6"/>
    <w:rsid w:val="272F2A5E"/>
    <w:rsid w:val="275A50DD"/>
    <w:rsid w:val="27E62A3C"/>
    <w:rsid w:val="28047CEB"/>
    <w:rsid w:val="28A27BCE"/>
    <w:rsid w:val="299D499D"/>
    <w:rsid w:val="2ACD6EF3"/>
    <w:rsid w:val="2BF57848"/>
    <w:rsid w:val="2C87300F"/>
    <w:rsid w:val="2D3E1023"/>
    <w:rsid w:val="2D490F55"/>
    <w:rsid w:val="2E5A00BC"/>
    <w:rsid w:val="2E845DBE"/>
    <w:rsid w:val="2EAD65BC"/>
    <w:rsid w:val="2F407C4C"/>
    <w:rsid w:val="2F5C7BAA"/>
    <w:rsid w:val="308411A1"/>
    <w:rsid w:val="30E843E7"/>
    <w:rsid w:val="30F650D8"/>
    <w:rsid w:val="31131F67"/>
    <w:rsid w:val="3125505A"/>
    <w:rsid w:val="319E34EA"/>
    <w:rsid w:val="31DC4001"/>
    <w:rsid w:val="32105496"/>
    <w:rsid w:val="32106AD2"/>
    <w:rsid w:val="32150908"/>
    <w:rsid w:val="32D5260F"/>
    <w:rsid w:val="344D27C5"/>
    <w:rsid w:val="34966325"/>
    <w:rsid w:val="34F03EF4"/>
    <w:rsid w:val="358E170B"/>
    <w:rsid w:val="359B12CB"/>
    <w:rsid w:val="35E47214"/>
    <w:rsid w:val="35EA7D20"/>
    <w:rsid w:val="35FB1DDE"/>
    <w:rsid w:val="361D60B2"/>
    <w:rsid w:val="379B54C5"/>
    <w:rsid w:val="39263376"/>
    <w:rsid w:val="398A3176"/>
    <w:rsid w:val="3B023879"/>
    <w:rsid w:val="3B767610"/>
    <w:rsid w:val="3CC46DE6"/>
    <w:rsid w:val="3CEF3CDE"/>
    <w:rsid w:val="3D1F3954"/>
    <w:rsid w:val="3D272352"/>
    <w:rsid w:val="3D620372"/>
    <w:rsid w:val="3D7F7B81"/>
    <w:rsid w:val="3DDF5C47"/>
    <w:rsid w:val="3DE03C4C"/>
    <w:rsid w:val="3E31245A"/>
    <w:rsid w:val="3E540179"/>
    <w:rsid w:val="3E567907"/>
    <w:rsid w:val="408F047C"/>
    <w:rsid w:val="415B0F4D"/>
    <w:rsid w:val="42C532B0"/>
    <w:rsid w:val="42C62B3F"/>
    <w:rsid w:val="432C6E6F"/>
    <w:rsid w:val="440B130F"/>
    <w:rsid w:val="44720459"/>
    <w:rsid w:val="44F01DD4"/>
    <w:rsid w:val="45AC10D3"/>
    <w:rsid w:val="46270130"/>
    <w:rsid w:val="46502ABD"/>
    <w:rsid w:val="4779769E"/>
    <w:rsid w:val="48381A13"/>
    <w:rsid w:val="49275CE5"/>
    <w:rsid w:val="495327D2"/>
    <w:rsid w:val="4A642686"/>
    <w:rsid w:val="4A6A180D"/>
    <w:rsid w:val="4AA25716"/>
    <w:rsid w:val="4CFC5E8E"/>
    <w:rsid w:val="4CFF3F95"/>
    <w:rsid w:val="4D2C3511"/>
    <w:rsid w:val="4D7E7F0D"/>
    <w:rsid w:val="4E163DB7"/>
    <w:rsid w:val="4E8E3192"/>
    <w:rsid w:val="4EF058A0"/>
    <w:rsid w:val="50321BC8"/>
    <w:rsid w:val="506D659E"/>
    <w:rsid w:val="50F308AB"/>
    <w:rsid w:val="51E96C48"/>
    <w:rsid w:val="521D4A7D"/>
    <w:rsid w:val="52426E95"/>
    <w:rsid w:val="5257245F"/>
    <w:rsid w:val="52E450B0"/>
    <w:rsid w:val="52F5427D"/>
    <w:rsid w:val="550C3ABC"/>
    <w:rsid w:val="5548018A"/>
    <w:rsid w:val="55702E2E"/>
    <w:rsid w:val="57495B82"/>
    <w:rsid w:val="58685D8C"/>
    <w:rsid w:val="59AD4DEB"/>
    <w:rsid w:val="5A042DF2"/>
    <w:rsid w:val="5B3509BE"/>
    <w:rsid w:val="5B613012"/>
    <w:rsid w:val="5CEB5144"/>
    <w:rsid w:val="5D605CE6"/>
    <w:rsid w:val="5D8334F8"/>
    <w:rsid w:val="5ED238A6"/>
    <w:rsid w:val="6045551F"/>
    <w:rsid w:val="60991919"/>
    <w:rsid w:val="618E2F92"/>
    <w:rsid w:val="61D43822"/>
    <w:rsid w:val="61F553C5"/>
    <w:rsid w:val="622B33A5"/>
    <w:rsid w:val="62B44D70"/>
    <w:rsid w:val="62BF42F3"/>
    <w:rsid w:val="639B08B2"/>
    <w:rsid w:val="63CE534C"/>
    <w:rsid w:val="63D0357A"/>
    <w:rsid w:val="64832281"/>
    <w:rsid w:val="652E1573"/>
    <w:rsid w:val="654541B7"/>
    <w:rsid w:val="65A01E32"/>
    <w:rsid w:val="65A7249B"/>
    <w:rsid w:val="65C131B1"/>
    <w:rsid w:val="65DE4AE2"/>
    <w:rsid w:val="6604125E"/>
    <w:rsid w:val="66B47D89"/>
    <w:rsid w:val="670D30AD"/>
    <w:rsid w:val="67A271F9"/>
    <w:rsid w:val="688D14DB"/>
    <w:rsid w:val="6892185B"/>
    <w:rsid w:val="694E64F0"/>
    <w:rsid w:val="69DB4F68"/>
    <w:rsid w:val="69DE755D"/>
    <w:rsid w:val="6A1B6A97"/>
    <w:rsid w:val="6AAD02FE"/>
    <w:rsid w:val="6AD34656"/>
    <w:rsid w:val="6AE24008"/>
    <w:rsid w:val="6AF01F55"/>
    <w:rsid w:val="6BE42B90"/>
    <w:rsid w:val="6C9D37FC"/>
    <w:rsid w:val="6C9D3A21"/>
    <w:rsid w:val="6E4678AE"/>
    <w:rsid w:val="705708A5"/>
    <w:rsid w:val="711254CA"/>
    <w:rsid w:val="71A7267F"/>
    <w:rsid w:val="71DE42F1"/>
    <w:rsid w:val="72117B64"/>
    <w:rsid w:val="72834CC1"/>
    <w:rsid w:val="72B47D18"/>
    <w:rsid w:val="72C77879"/>
    <w:rsid w:val="72C8195F"/>
    <w:rsid w:val="72DF5871"/>
    <w:rsid w:val="735648F4"/>
    <w:rsid w:val="74805E78"/>
    <w:rsid w:val="75043FA9"/>
    <w:rsid w:val="75600DEB"/>
    <w:rsid w:val="76655534"/>
    <w:rsid w:val="76970DE6"/>
    <w:rsid w:val="76E86B40"/>
    <w:rsid w:val="771134A2"/>
    <w:rsid w:val="77793516"/>
    <w:rsid w:val="77EE16D8"/>
    <w:rsid w:val="7816304E"/>
    <w:rsid w:val="782A28A2"/>
    <w:rsid w:val="789D43C2"/>
    <w:rsid w:val="79FA34E2"/>
    <w:rsid w:val="7A8F388E"/>
    <w:rsid w:val="7AC3434C"/>
    <w:rsid w:val="7BBA06D5"/>
    <w:rsid w:val="7BCA2A4A"/>
    <w:rsid w:val="7BF81CCF"/>
    <w:rsid w:val="7CB20E01"/>
    <w:rsid w:val="7D3C5A54"/>
    <w:rsid w:val="7D804544"/>
    <w:rsid w:val="7E010D02"/>
    <w:rsid w:val="7EC67585"/>
    <w:rsid w:val="7F2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hd w:val="clear" w:color="auto" w:fill="FFFFFF"/>
      <w:spacing w:before="600" w:after="900" w:line="240" w:lineRule="atLeast"/>
      <w:jc w:val="right"/>
    </w:pPr>
    <w:rPr>
      <w:rFonts w:ascii="黑体" w:eastAsia="黑体" w:cs="黑体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正文文本 Char1"/>
    <w:basedOn w:val="7"/>
    <w:link w:val="2"/>
    <w:qFormat/>
    <w:uiPriority w:val="99"/>
    <w:rPr>
      <w:rFonts w:ascii="黑体" w:eastAsia="黑体" w:cs="黑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1607</Words>
  <Characters>1925</Characters>
  <Lines>0</Lines>
  <Paragraphs>0</Paragraphs>
  <TotalTime>2</TotalTime>
  <ScaleCrop>false</ScaleCrop>
  <LinksUpToDate>false</LinksUpToDate>
  <CharactersWithSpaces>2031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2019-08-01T08:05:00Z</dcterms:created>
  <dc:creator>陌路</dc:creator>
  <cp:lastModifiedBy>计量院 一段老师</cp:lastModifiedBy>
  <dcterms:modified xsi:type="dcterms:W3CDTF">2021-03-17T09:29:38Z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